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4 listopada 2024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----------------------------------------------------------------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color w:val="242527"/>
          <w:sz w:val="36"/>
          <w:szCs w:val="3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42527"/>
          <w:sz w:val="36"/>
          <w:szCs w:val="36"/>
          <w:highlight w:val="white"/>
          <w:rtl w:val="0"/>
        </w:rPr>
        <w:t xml:space="preserve">Startuje 3. edycja konkursu CSR Poland Awards!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color w:val="242527"/>
          <w:sz w:val="23"/>
          <w:szCs w:val="23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42527"/>
          <w:sz w:val="23"/>
          <w:szCs w:val="23"/>
          <w:highlight w:val="white"/>
          <w:rtl w:val="0"/>
        </w:rPr>
        <w:t xml:space="preserve">Równowaga między dobrem społecznym a korzyściami dla biznesu jest możliwa i wzajemnie korzystna. Dowodem na to są liczne działania CSR/ESG, realizowane przez firmy i liderów, którzy przygotowują programy dla pracowników i lokalnych społeczności, wspierają ważne projekty charytatywne oraz rozwijają wolontariat pracowniczy. Jesteś jedną z takich organizacji lub osób? Wyślij zgłoszenie do konkursu CSR Poland Awards 2025! Inicjatywa ta ma na celu uhonorowanie tych, którzy wnoszą znaczący wkład w realizację inicjatyw społecznych w Polsce oraz przyczyniają się do zwiększenia świadomości na temat społecznej odpowiedzialności biznesu. Zgłoszenia są przyjmowane do 2 lutego 2025 r.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Konkurs będzie towarzyszyć konferencji CSR Poland 2025, która odbędzie się 20 i 21 marca 2025 r. w Centrum Konferencyjnym Fabryczna 13 w Krakowie. W pierwszym dniu organizatorzy, czyli Fundacja Poland Business Run, zaplanowali prezentacje i panele dyskusyjne z udziałem ekspertów z branży CSR, ESG, HR i PR, którzy podzielą się m.in. </w:t>
      </w:r>
      <w:r w:rsidDel="00000000" w:rsidR="00000000" w:rsidRPr="00000000">
        <w:rPr>
          <w:rFonts w:ascii="Arial" w:cs="Arial" w:eastAsia="Arial" w:hAnsi="Arial"/>
          <w:i w:val="1"/>
          <w:color w:val="242527"/>
          <w:sz w:val="23"/>
          <w:szCs w:val="23"/>
          <w:highlight w:val="white"/>
          <w:rtl w:val="0"/>
        </w:rPr>
        <w:t xml:space="preserve">case studies</w:t>
      </w: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 z najciekawszych akcji społecznej odpowiedzialności biznesu. Zwieńczeniem pierwszego dnia będzie gala wręczenia nagród w konkursie CSR Poland Awards 2024. Drugiego dnia przewidziano praktyczne szkolenia i warsztaty. Bilety na wydarzenie dostępne są na stronie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3"/>
            <w:szCs w:val="23"/>
            <w:highlight w:val="white"/>
            <w:u w:val="single"/>
            <w:rtl w:val="0"/>
          </w:rPr>
          <w:t xml:space="preserve">www.csrpoland.pl</w:t>
        </w:r>
      </w:hyperlink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color w:val="242527"/>
          <w:sz w:val="23"/>
          <w:szCs w:val="23"/>
          <w:highlight w:val="white"/>
          <w:rtl w:val="0"/>
        </w:rPr>
        <w:t xml:space="preserve">Czujemy, że kwestie zrównoważonego rozwoju i odpowiedzialności biznesu w kolejnych latach staną się jeszcze bardziej istotne, dlatego kilka lat temu wpadliśmy na pomysł organizacji konferencji oraz konkursu, których celem jest wymiana doświadczeń czy zwrócenie uwagi na najlepsze działania CSR.</w:t>
      </w: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42527"/>
          <w:sz w:val="23"/>
          <w:szCs w:val="23"/>
          <w:highlight w:val="white"/>
          <w:rtl w:val="0"/>
        </w:rPr>
        <w:t xml:space="preserve">Głęboko wierzę, że nasze wydarzenie może przybliżyć nas do zmiany świata na lepsze. W dwóch poprzednich edycjach konkursu otrzymaliśmy prawie 500 zgłoszeń, więc bardzo cieszy nas to, że tyle firm i osób chce być częścią tej zmiany i dzielić się swoimi dobrymi praktykami</w:t>
      </w: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 – mówi Agnieszka Pleti, prezeska Fundacji Poland Business Run, organizatorka konferencji CSR Poland i konkursu CSR Poland Awards.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42527"/>
          <w:sz w:val="23"/>
          <w:szCs w:val="23"/>
          <w:highlight w:val="white"/>
          <w:rtl w:val="0"/>
        </w:rPr>
        <w:t xml:space="preserve">Zasady i kategorie w konkursie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Dwie poprzednie edycje wydarzenia pokazały, jak istotne są rozmowy o CSR w praktyce, budowanie społeczności wokół zrównoważonego rozwoju i dawanie przestrzeni do tego, by polski biznes wzajemnie się inspirował, wymieniał najlepszymi praktykami oraz uświadamiał sobie skalę nie tylko realizowanych projektów, ale także tych, które jeszcze ma do zrobienia.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color w:val="242527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W konkursie CSR Poland Awards 2025 może wziąć udział każda firma i osoba, która w 2024 r. zrealizowała projekt CSR w jednej z kategorii konkursowych. Dwa zgłoszenia z firmy można przesłać bezpłatnie. Każde kolejne zgłoszenie objęte jest dodatkową opłatą administracyjną w wysokości 500 zł netto.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Warunkiem uczestnictwa w konkursie jest dokonanie zgłoszenia konkursowego poprzez wypełnienie elektronicznego formularza dostępnego na stronie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3"/>
            <w:szCs w:val="23"/>
            <w:highlight w:val="white"/>
            <w:u w:val="single"/>
            <w:rtl w:val="0"/>
          </w:rPr>
          <w:t xml:space="preserve">www.csrpoland.pl</w:t>
        </w:r>
      </w:hyperlink>
      <w:r w:rsidDel="00000000" w:rsidR="00000000" w:rsidRPr="00000000">
        <w:rPr>
          <w:rFonts w:ascii="Arial" w:cs="Arial" w:eastAsia="Arial" w:hAnsi="Arial"/>
          <w:color w:val="242527"/>
          <w:sz w:val="23"/>
          <w:szCs w:val="23"/>
          <w:highlight w:val="white"/>
          <w:rtl w:val="0"/>
        </w:rPr>
        <w:t xml:space="preserve">.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Nagrody przyznawane będą w 4 kategoriach głównych: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- Community engagement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 – projekty społeczne, które zostały zrealizowane przez firmę na rzecz jej otoczenia zewnętrznego.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- Volunteering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 – projekty społeczne zrealizowane przez firmę przy udziale jej pracowników w roli wolontariuszy.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- Employee wellbeing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 – projekty, które realizowała firma na rzecz swoich własnych pracowników, dbając o ich dobrostan fizyczny, psychologiczny, finansowy, zawodowy i społeczny.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- CSR Leader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 – osoba, która w danej firmie działa jak ambasador projektów społecznych, zachęca innych do aktywności, motywuje zespół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działania i sprawia, że firma staje się bardziej otwarta i dostępna.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Spośród wszystkich nadesłanych zgłoszeń zostanie dodatkowo wybrany i nagrodzony najlepszy projekt z zakresu działalności na rzecz osób z niepełnosprawnościami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Accessibility and inclusivity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highlight w:val="white"/>
          <w:u w:val="none"/>
          <w:vertAlign w:val="baseline"/>
          <w:rtl w:val="0"/>
        </w:rPr>
        <w:t xml:space="preserve">Lista nominowanych znana będzie na początku marca 2025 r. Oficjalne ogłoszenie zwycięzców i uroczyste wręczenie nagród nastąpi 20 marca 2025 r. o godz. 20:00 podczas Gali CSR Poland Awards w Krakowie.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highlight w:val="white"/>
          <w:u w:val="none"/>
          <w:vertAlign w:val="baseline"/>
          <w:rtl w:val="0"/>
        </w:rPr>
        <w:t xml:space="preserve">Więcej informacji oraz regulamin konkursu na stronie </w:t>
      </w:r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3"/>
            <w:szCs w:val="23"/>
            <w:highlight w:val="white"/>
            <w:u w:val="single"/>
            <w:vertAlign w:val="baseline"/>
            <w:rtl w:val="0"/>
          </w:rPr>
          <w:t xml:space="preserve">www.csrpoland.pl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42527"/>
          <w:sz w:val="23"/>
          <w:szCs w:val="23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42527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242527"/>
          <w:sz w:val="23"/>
          <w:szCs w:val="23"/>
          <w:rtl w:val="0"/>
        </w:rPr>
        <w:t xml:space="preserve">Kontakt dla mediów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Marta Hernik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Head of Projects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sz w:val="23"/>
          <w:szCs w:val="23"/>
          <w:highlight w:val="white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highlight w:val="white"/>
            <w:u w:val="single"/>
            <w:rtl w:val="0"/>
          </w:rPr>
          <w:t xml:space="preserve">marta.hernik@pbr.pl</w:t>
        </w:r>
      </w:hyperlink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color w:val="242527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tel. 504 206 139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3">
    <w:name w:val="heading 3"/>
    <w:basedOn w:val="Normalny"/>
    <w:link w:val="Nagwek3Znak"/>
    <w:uiPriority w:val="9"/>
    <w:qFormat w:val="1"/>
    <w:rsid w:val="006F3033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3Znak" w:customStyle="1">
    <w:name w:val="Nagłówek 3 Znak"/>
    <w:basedOn w:val="Domylnaczcionkaakapitu"/>
    <w:link w:val="Nagwek3"/>
    <w:uiPriority w:val="9"/>
    <w:rsid w:val="006F3033"/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 w:val="1"/>
    <w:rsid w:val="006F3033"/>
    <w:rPr>
      <w:b w:val="1"/>
      <w:bCs w:val="1"/>
    </w:rPr>
  </w:style>
  <w:style w:type="paragraph" w:styleId="NormalnyWeb">
    <w:name w:val="Normal (Web)"/>
    <w:basedOn w:val="Normalny"/>
    <w:uiPriority w:val="99"/>
    <w:semiHidden w:val="1"/>
    <w:unhideWhenUsed w:val="1"/>
    <w:rsid w:val="006F30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6F303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arta.hernik@pbr.pl" TargetMode="External"/><Relationship Id="rId9" Type="http://schemas.openxmlformats.org/officeDocument/2006/relationships/hyperlink" Target="http://www.csrpoland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srpoland.pl" TargetMode="External"/><Relationship Id="rId8" Type="http://schemas.openxmlformats.org/officeDocument/2006/relationships/hyperlink" Target="http://www.csrpolan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MB3VHJeqho4R8tWFeYWXeNAvA==">CgMxLjAyCGguZ2pkZ3hzOABqJAoUc3VnZ2VzdC40bWF5cXE1bXlqMXcSDE1hcnRhIEhlcm5pa2okChRzdWdnZXN0LmcwZW9lanV1cmM5OBIMTWFydGEgSGVybmlraiQKFHN1Z2dlc3QuanoxY2hpcm16ZnRhEgxNYXJ0YSBIZXJuaWtqJAoUc3VnZ2VzdC5pd2dvcGM1b3JwZ28SDE1hcnRhIEhlcm5pa3IhMVBsV0ltX2NaTzI0cTJPOHBGN01QYlpjaXJfV1ZEQWIy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2024-10-14T09:46:00Z</dcterms:created>
  <dc:creator>Anna Kalina</dc:creator>
</cp:coreProperties>
</file>